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F704B" w14:textId="631DD06B" w:rsidR="00BC2869" w:rsidRPr="00BC2869" w:rsidRDefault="00BC2869" w:rsidP="00BC2869">
      <w:pPr>
        <w:pStyle w:val="Titre1"/>
        <w:jc w:val="right"/>
        <w:rPr>
          <w:b w:val="0"/>
          <w:bCs w:val="0"/>
          <w:color w:val="833C0B" w:themeColor="accent2" w:themeShade="80"/>
          <w:sz w:val="16"/>
          <w:szCs w:val="16"/>
        </w:rPr>
      </w:pPr>
      <w:bookmarkStart w:id="0" w:name="_Toc99626527"/>
      <w:r w:rsidRPr="00BC2869">
        <w:rPr>
          <w:b w:val="0"/>
          <w:bCs w:val="0"/>
          <w:color w:val="833C0B" w:themeColor="accent2" w:themeShade="80"/>
          <w:sz w:val="16"/>
          <w:szCs w:val="16"/>
        </w:rPr>
        <w:t>Hygiènes-XXXll-5-Grammatico-Guillon-CC BY-NC 3.0</w:t>
      </w:r>
    </w:p>
    <w:p w14:paraId="28B3B7C8" w14:textId="1FED2C0B" w:rsidR="00C80EE1" w:rsidRPr="00AD2C1C" w:rsidRDefault="00C80EE1" w:rsidP="00AD2C1C">
      <w:pPr>
        <w:pStyle w:val="Titre1"/>
        <w:rPr>
          <w:rFonts w:ascii="Times New Roman" w:hAnsi="Times New Roman"/>
          <w:sz w:val="20"/>
          <w:szCs w:val="20"/>
          <w:lang w:eastAsia="fr-FR"/>
        </w:rPr>
      </w:pPr>
      <w:r w:rsidRPr="00AD2C1C">
        <w:t xml:space="preserve">Appendix A.2: </w:t>
      </w:r>
      <w:bookmarkEnd w:id="0"/>
      <w:r w:rsidR="00AD2C1C" w:rsidRPr="00AD2C1C">
        <w:t xml:space="preserve">Répartition des </w:t>
      </w:r>
      <w:r w:rsidR="00AD2C1C">
        <w:t xml:space="preserve">établissements de santé </w:t>
      </w:r>
      <w:r w:rsidR="00AD2C1C" w:rsidRPr="00AD2C1C">
        <w:t>avec au moins une infection du site opératoire (ISO) détectée</w:t>
      </w:r>
    </w:p>
    <w:p w14:paraId="119E476E" w14:textId="77777777" w:rsidR="00AD2C1C" w:rsidRDefault="00AD2C1C" w:rsidP="00C80EE1">
      <w:pPr>
        <w:rPr>
          <w:rFonts w:ascii="Times New Roman" w:hAnsi="Times New Roman"/>
          <w:sz w:val="20"/>
          <w:szCs w:val="20"/>
          <w:lang w:eastAsia="fr-FR"/>
        </w:rPr>
      </w:pPr>
    </w:p>
    <w:p w14:paraId="0026FD4A" w14:textId="77777777" w:rsidR="00AD2C1C" w:rsidRPr="00AD2C1C" w:rsidRDefault="00AD2C1C" w:rsidP="00C80EE1">
      <w:pPr>
        <w:rPr>
          <w:rFonts w:ascii="Times New Roman" w:hAnsi="Times New Roman"/>
          <w:sz w:val="20"/>
          <w:szCs w:val="20"/>
          <w:lang w:eastAsia="fr-FR"/>
        </w:rPr>
      </w:pPr>
    </w:p>
    <w:tbl>
      <w:tblPr>
        <w:tblStyle w:val="Grilledutableau"/>
        <w:tblpPr w:leftFromText="141" w:rightFromText="141" w:vertAnchor="text" w:horzAnchor="margin" w:tblpY="-79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1"/>
        <w:gridCol w:w="2154"/>
        <w:gridCol w:w="2154"/>
        <w:gridCol w:w="2154"/>
      </w:tblGrid>
      <w:tr w:rsidR="00C80EE1" w:rsidRPr="009F637C" w14:paraId="328E5C92" w14:textId="77777777" w:rsidTr="00F73A78">
        <w:trPr>
          <w:trHeight w:val="340"/>
        </w:trPr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CFA771" w14:textId="77777777" w:rsidR="00C80EE1" w:rsidRPr="00AD2C1C" w:rsidRDefault="00C80EE1" w:rsidP="00F73A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796A9" w14:textId="77777777" w:rsidR="00AD2C1C" w:rsidRDefault="00AD2C1C" w:rsidP="00F73A78">
            <w:pPr>
              <w:pStyle w:val="Normalcentr"/>
              <w:spacing w:line="240" w:lineRule="auto"/>
              <w:rPr>
                <w:rFonts w:ascii="Times New Roman" w:hAnsi="Times New Roman" w:cs="Times New Roman"/>
                <w:b/>
                <w:iCs w:val="0"/>
                <w:color w:val="404040" w:themeColor="text1" w:themeTint="BF"/>
                <w:sz w:val="19"/>
              </w:rPr>
            </w:pPr>
            <w:r w:rsidRPr="00AD2C1C">
              <w:rPr>
                <w:rFonts w:ascii="Times New Roman" w:hAnsi="Times New Roman" w:cs="Times New Roman"/>
                <w:b/>
                <w:iCs w:val="0"/>
                <w:color w:val="404040" w:themeColor="text1" w:themeTint="BF"/>
                <w:sz w:val="19"/>
              </w:rPr>
              <w:t xml:space="preserve">ES concernés par l'algorithme </w:t>
            </w:r>
          </w:p>
          <w:p w14:paraId="723B95F4" w14:textId="77777777" w:rsidR="00C80EE1" w:rsidRPr="00AD2C1C" w:rsidRDefault="00C80EE1" w:rsidP="00F73A78">
            <w:pPr>
              <w:pStyle w:val="Normalcentr"/>
              <w:spacing w:line="240" w:lineRule="auto"/>
              <w:rPr>
                <w:rFonts w:ascii="Times New Roman" w:hAnsi="Times New Roman" w:cs="Times New Roman"/>
                <w:b/>
                <w:iCs w:val="0"/>
                <w:color w:val="404040" w:themeColor="text1" w:themeTint="BF"/>
                <w:sz w:val="19"/>
              </w:rPr>
            </w:pPr>
            <w:r w:rsidRPr="00AD2C1C">
              <w:rPr>
                <w:rFonts w:ascii="Times New Roman" w:hAnsi="Times New Roman" w:cs="Times New Roman"/>
                <w:b/>
                <w:iCs w:val="0"/>
                <w:color w:val="404040" w:themeColor="text1" w:themeTint="BF"/>
                <w:sz w:val="19"/>
              </w:rPr>
              <w:t>(N = 777)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49332" w14:textId="77777777" w:rsidR="00C80EE1" w:rsidRPr="00AD2C1C" w:rsidRDefault="00AD2C1C" w:rsidP="00F73A78">
            <w:pPr>
              <w:pStyle w:val="Normalcentr"/>
              <w:spacing w:line="240" w:lineRule="auto"/>
              <w:rPr>
                <w:rFonts w:ascii="Times New Roman" w:hAnsi="Times New Roman" w:cs="Times New Roman"/>
                <w:b/>
                <w:iCs w:val="0"/>
                <w:color w:val="404040" w:themeColor="text1" w:themeTint="BF"/>
                <w:sz w:val="19"/>
              </w:rPr>
            </w:pPr>
            <w:r w:rsidRPr="00AD2C1C">
              <w:rPr>
                <w:rFonts w:ascii="Times New Roman" w:hAnsi="Times New Roman" w:cs="Times New Roman"/>
                <w:b/>
                <w:iCs w:val="0"/>
                <w:color w:val="404040" w:themeColor="text1" w:themeTint="BF"/>
                <w:sz w:val="19"/>
              </w:rPr>
              <w:t>ES avec au moins un cas d'ISO détecté</w:t>
            </w:r>
          </w:p>
          <w:p w14:paraId="2BBFD230" w14:textId="77777777" w:rsidR="00C80EE1" w:rsidRPr="00AD2C1C" w:rsidRDefault="00C80EE1" w:rsidP="00F73A78">
            <w:pPr>
              <w:pStyle w:val="Normalcentr"/>
              <w:spacing w:line="240" w:lineRule="auto"/>
              <w:rPr>
                <w:rFonts w:ascii="Times New Roman" w:hAnsi="Times New Roman" w:cs="Times New Roman"/>
                <w:b/>
                <w:iCs w:val="0"/>
                <w:color w:val="404040" w:themeColor="text1" w:themeTint="BF"/>
                <w:sz w:val="19"/>
              </w:rPr>
            </w:pPr>
            <w:r w:rsidRPr="00AD2C1C">
              <w:rPr>
                <w:rFonts w:ascii="Times New Roman" w:hAnsi="Times New Roman" w:cs="Times New Roman"/>
                <w:b/>
                <w:iCs w:val="0"/>
                <w:color w:val="404040" w:themeColor="text1" w:themeTint="BF"/>
                <w:sz w:val="19"/>
              </w:rPr>
              <w:t>(N = 470)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F3A00" w14:textId="77777777" w:rsidR="00C80EE1" w:rsidRPr="00AD2C1C" w:rsidRDefault="00AD2C1C" w:rsidP="00F73A78">
            <w:pPr>
              <w:pStyle w:val="Normalcentr"/>
              <w:spacing w:line="240" w:lineRule="auto"/>
              <w:rPr>
                <w:rFonts w:ascii="Times New Roman" w:hAnsi="Times New Roman" w:cs="Times New Roman"/>
                <w:b/>
                <w:iCs w:val="0"/>
                <w:color w:val="404040" w:themeColor="text1" w:themeTint="BF"/>
                <w:sz w:val="19"/>
              </w:rPr>
            </w:pPr>
            <w:r w:rsidRPr="00AD2C1C">
              <w:rPr>
                <w:rFonts w:ascii="Times New Roman" w:hAnsi="Times New Roman" w:cs="Times New Roman"/>
                <w:b/>
                <w:iCs w:val="0"/>
                <w:color w:val="404040" w:themeColor="text1" w:themeTint="BF"/>
                <w:sz w:val="19"/>
              </w:rPr>
              <w:t>ES participants</w:t>
            </w:r>
          </w:p>
          <w:p w14:paraId="0C91058B" w14:textId="77777777" w:rsidR="00C80EE1" w:rsidRPr="00AD2C1C" w:rsidRDefault="00C80EE1" w:rsidP="00F73A78">
            <w:pPr>
              <w:pStyle w:val="Normalcentr"/>
              <w:spacing w:line="240" w:lineRule="auto"/>
              <w:rPr>
                <w:rFonts w:ascii="Times New Roman" w:hAnsi="Times New Roman" w:cs="Times New Roman"/>
                <w:b/>
                <w:iCs w:val="0"/>
                <w:color w:val="404040" w:themeColor="text1" w:themeTint="BF"/>
                <w:sz w:val="19"/>
              </w:rPr>
            </w:pPr>
            <w:r w:rsidRPr="00AD2C1C">
              <w:rPr>
                <w:rFonts w:ascii="Times New Roman" w:hAnsi="Times New Roman" w:cs="Times New Roman"/>
                <w:b/>
                <w:iCs w:val="0"/>
                <w:color w:val="404040" w:themeColor="text1" w:themeTint="BF"/>
                <w:sz w:val="19"/>
              </w:rPr>
              <w:t>(N = 250)</w:t>
            </w:r>
          </w:p>
        </w:tc>
      </w:tr>
      <w:tr w:rsidR="00C80EE1" w:rsidRPr="009F637C" w14:paraId="79E5BB08" w14:textId="77777777" w:rsidTr="00F73A78">
        <w:trPr>
          <w:trHeight w:val="340"/>
        </w:trPr>
        <w:tc>
          <w:tcPr>
            <w:tcW w:w="2721" w:type="dxa"/>
            <w:tcBorders>
              <w:top w:val="single" w:sz="4" w:space="0" w:color="auto"/>
            </w:tcBorders>
            <w:vAlign w:val="center"/>
          </w:tcPr>
          <w:p w14:paraId="1A8213ED" w14:textId="77777777" w:rsidR="00C80EE1" w:rsidRPr="009F637C" w:rsidRDefault="00AD2C1C" w:rsidP="00F73A78">
            <w:pPr>
              <w:jc w:val="center"/>
              <w:rPr>
                <w:rStyle w:val="Accentuationlgre"/>
                <w:rFonts w:ascii="Times New Roman" w:hAnsi="Times New Roman"/>
                <w:b/>
                <w:lang w:val="en-GB"/>
              </w:rPr>
            </w:pPr>
            <w:r w:rsidRPr="00AD2C1C">
              <w:rPr>
                <w:rFonts w:ascii="Times New Roman" w:hAnsi="Times New Roman"/>
                <w:b/>
                <w:sz w:val="20"/>
                <w:szCs w:val="20"/>
              </w:rPr>
              <w:t>Hôpitaux généraux publics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80EE1" w:rsidRPr="009F637C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(%)</w:t>
            </w:r>
          </w:p>
        </w:tc>
        <w:tc>
          <w:tcPr>
            <w:tcW w:w="2154" w:type="dxa"/>
            <w:tcBorders>
              <w:top w:val="single" w:sz="4" w:space="0" w:color="auto"/>
            </w:tcBorders>
            <w:vAlign w:val="center"/>
          </w:tcPr>
          <w:p w14:paraId="0B431822" w14:textId="77777777" w:rsidR="00C80EE1" w:rsidRPr="009F637C" w:rsidRDefault="00C80EE1" w:rsidP="00F73A78">
            <w:pPr>
              <w:pStyle w:val="Normalcentr"/>
              <w:spacing w:line="240" w:lineRule="auto"/>
              <w:rPr>
                <w:rStyle w:val="Accentuationlgre"/>
                <w:rFonts w:ascii="Times New Roman" w:hAnsi="Times New Roman" w:cs="Times New Roman"/>
                <w:lang w:val="en-GB"/>
              </w:rPr>
            </w:pPr>
            <w:r w:rsidRPr="009F637C">
              <w:rPr>
                <w:rStyle w:val="Accentuationlgre"/>
                <w:rFonts w:ascii="Times New Roman" w:hAnsi="Times New Roman" w:cs="Times New Roman"/>
                <w:lang w:val="en-GB"/>
              </w:rPr>
              <w:t>280 (36%)</w:t>
            </w:r>
          </w:p>
        </w:tc>
        <w:tc>
          <w:tcPr>
            <w:tcW w:w="2154" w:type="dxa"/>
            <w:tcBorders>
              <w:top w:val="single" w:sz="4" w:space="0" w:color="auto"/>
            </w:tcBorders>
            <w:vAlign w:val="center"/>
          </w:tcPr>
          <w:p w14:paraId="28018A33" w14:textId="77777777" w:rsidR="00C80EE1" w:rsidRPr="009F637C" w:rsidRDefault="00C80EE1" w:rsidP="00F73A78">
            <w:pPr>
              <w:pStyle w:val="Normalcentr"/>
              <w:spacing w:line="240" w:lineRule="auto"/>
              <w:rPr>
                <w:rStyle w:val="Accentuationlgre"/>
                <w:rFonts w:ascii="Times New Roman" w:hAnsi="Times New Roman" w:cs="Times New Roman"/>
                <w:lang w:val="en-GB"/>
              </w:rPr>
            </w:pPr>
            <w:r w:rsidRPr="009F637C">
              <w:rPr>
                <w:rStyle w:val="Accentuationlgre"/>
                <w:rFonts w:ascii="Times New Roman" w:hAnsi="Times New Roman" w:cs="Times New Roman"/>
                <w:lang w:val="en-GB"/>
              </w:rPr>
              <w:t>135 (28.7%)</w:t>
            </w:r>
          </w:p>
        </w:tc>
        <w:tc>
          <w:tcPr>
            <w:tcW w:w="2154" w:type="dxa"/>
            <w:tcBorders>
              <w:top w:val="single" w:sz="4" w:space="0" w:color="auto"/>
            </w:tcBorders>
            <w:vAlign w:val="center"/>
          </w:tcPr>
          <w:p w14:paraId="5E1F82B1" w14:textId="77777777" w:rsidR="00C80EE1" w:rsidRPr="009F637C" w:rsidRDefault="00C80EE1" w:rsidP="00F73A78">
            <w:pPr>
              <w:pStyle w:val="Normalcentr"/>
              <w:spacing w:line="240" w:lineRule="auto"/>
              <w:rPr>
                <w:rStyle w:val="Accentuationlgre"/>
                <w:rFonts w:ascii="Times New Roman" w:hAnsi="Times New Roman" w:cs="Times New Roman"/>
                <w:lang w:val="en-GB"/>
              </w:rPr>
            </w:pPr>
            <w:r w:rsidRPr="009F637C">
              <w:rPr>
                <w:rStyle w:val="Accentuationlgre"/>
                <w:rFonts w:ascii="Times New Roman" w:hAnsi="Times New Roman" w:cs="Times New Roman"/>
                <w:lang w:val="en-GB"/>
              </w:rPr>
              <w:t>57 (22.8%)</w:t>
            </w:r>
          </w:p>
        </w:tc>
      </w:tr>
      <w:tr w:rsidR="00C80EE1" w:rsidRPr="009F637C" w14:paraId="55858E5A" w14:textId="77777777" w:rsidTr="00F73A78">
        <w:trPr>
          <w:trHeight w:val="340"/>
        </w:trPr>
        <w:tc>
          <w:tcPr>
            <w:tcW w:w="2721" w:type="dxa"/>
            <w:vAlign w:val="center"/>
          </w:tcPr>
          <w:p w14:paraId="7D450FF9" w14:textId="77777777" w:rsidR="00C80EE1" w:rsidRPr="009F637C" w:rsidRDefault="00AD2C1C" w:rsidP="00F73A78">
            <w:pPr>
              <w:jc w:val="center"/>
              <w:rPr>
                <w:rStyle w:val="Accentuationlgre"/>
                <w:rFonts w:ascii="Times New Roman" w:hAnsi="Times New Roman"/>
                <w:b/>
                <w:lang w:val="en-GB"/>
              </w:rPr>
            </w:pPr>
            <w:r w:rsidRPr="00AD2C1C">
              <w:rPr>
                <w:rFonts w:ascii="Times New Roman" w:hAnsi="Times New Roman"/>
                <w:b/>
                <w:sz w:val="20"/>
                <w:szCs w:val="20"/>
              </w:rPr>
              <w:t>Hôpitaux universitaires</w:t>
            </w:r>
            <w:r>
              <w:t xml:space="preserve"> </w:t>
            </w:r>
            <w:r w:rsidR="00C80EE1" w:rsidRPr="009F637C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(%)</w:t>
            </w:r>
          </w:p>
        </w:tc>
        <w:tc>
          <w:tcPr>
            <w:tcW w:w="2154" w:type="dxa"/>
            <w:vAlign w:val="center"/>
          </w:tcPr>
          <w:p w14:paraId="5D82BD37" w14:textId="77777777" w:rsidR="00C80EE1" w:rsidRPr="009F637C" w:rsidRDefault="00C80EE1" w:rsidP="00F73A78">
            <w:pPr>
              <w:pStyle w:val="Normalcentr"/>
              <w:spacing w:line="240" w:lineRule="auto"/>
              <w:rPr>
                <w:rStyle w:val="Accentuationlgre"/>
                <w:rFonts w:ascii="Times New Roman" w:hAnsi="Times New Roman" w:cs="Times New Roman"/>
                <w:lang w:val="en-GB"/>
              </w:rPr>
            </w:pPr>
            <w:r w:rsidRPr="009F637C">
              <w:rPr>
                <w:rStyle w:val="Accentuationlgre"/>
                <w:rFonts w:ascii="Times New Roman" w:hAnsi="Times New Roman" w:cs="Times New Roman"/>
                <w:lang w:val="en-GB"/>
              </w:rPr>
              <w:t>61 (7.9%)</w:t>
            </w:r>
          </w:p>
        </w:tc>
        <w:tc>
          <w:tcPr>
            <w:tcW w:w="2154" w:type="dxa"/>
            <w:vAlign w:val="center"/>
          </w:tcPr>
          <w:p w14:paraId="7BA1C743" w14:textId="77777777" w:rsidR="00C80EE1" w:rsidRPr="009F637C" w:rsidRDefault="00C80EE1" w:rsidP="00F73A78">
            <w:pPr>
              <w:pStyle w:val="Normalcentr"/>
              <w:spacing w:line="240" w:lineRule="auto"/>
              <w:rPr>
                <w:rStyle w:val="Accentuationlgre"/>
                <w:rFonts w:ascii="Times New Roman" w:hAnsi="Times New Roman" w:cs="Times New Roman"/>
                <w:lang w:val="en-GB"/>
              </w:rPr>
            </w:pPr>
            <w:r w:rsidRPr="009F637C">
              <w:rPr>
                <w:rStyle w:val="Accentuationlgre"/>
                <w:rFonts w:ascii="Times New Roman" w:hAnsi="Times New Roman" w:cs="Times New Roman"/>
                <w:lang w:val="en-GB"/>
              </w:rPr>
              <w:t>43 (9.2%)</w:t>
            </w:r>
          </w:p>
        </w:tc>
        <w:tc>
          <w:tcPr>
            <w:tcW w:w="2154" w:type="dxa"/>
            <w:vAlign w:val="center"/>
          </w:tcPr>
          <w:p w14:paraId="08663ED8" w14:textId="77777777" w:rsidR="00C80EE1" w:rsidRPr="009F637C" w:rsidRDefault="00C80EE1" w:rsidP="00F73A78">
            <w:pPr>
              <w:pStyle w:val="Normalcentr"/>
              <w:spacing w:line="240" w:lineRule="auto"/>
              <w:rPr>
                <w:rStyle w:val="Accentuationlgre"/>
                <w:rFonts w:ascii="Times New Roman" w:hAnsi="Times New Roman" w:cs="Times New Roman"/>
                <w:lang w:val="en-GB"/>
              </w:rPr>
            </w:pPr>
            <w:r w:rsidRPr="009F637C">
              <w:rPr>
                <w:rStyle w:val="Accentuationlgre"/>
                <w:rFonts w:ascii="Times New Roman" w:hAnsi="Times New Roman" w:cs="Times New Roman"/>
                <w:lang w:val="en-GB"/>
              </w:rPr>
              <w:t>23 (9.2%)</w:t>
            </w:r>
          </w:p>
        </w:tc>
      </w:tr>
      <w:tr w:rsidR="00C80EE1" w:rsidRPr="009F637C" w14:paraId="19404DEA" w14:textId="77777777" w:rsidTr="00F73A78">
        <w:trPr>
          <w:trHeight w:val="340"/>
        </w:trPr>
        <w:tc>
          <w:tcPr>
            <w:tcW w:w="2721" w:type="dxa"/>
            <w:tcBorders>
              <w:bottom w:val="single" w:sz="4" w:space="0" w:color="auto"/>
            </w:tcBorders>
            <w:vAlign w:val="center"/>
          </w:tcPr>
          <w:p w14:paraId="7FB30123" w14:textId="77777777" w:rsidR="00C80EE1" w:rsidRPr="009F637C" w:rsidRDefault="00AD2C1C" w:rsidP="00F73A78">
            <w:pPr>
              <w:jc w:val="center"/>
              <w:rPr>
                <w:rStyle w:val="Accentuationlgre"/>
                <w:rFonts w:ascii="Times New Roman" w:eastAsiaTheme="minorEastAsia" w:hAnsi="Times New Roman"/>
                <w:b/>
                <w:iCs w:val="0"/>
                <w:lang w:val="en-GB"/>
              </w:rPr>
            </w:pPr>
            <w:r w:rsidRPr="00AD2C1C">
              <w:rPr>
                <w:rFonts w:ascii="Times New Roman" w:hAnsi="Times New Roman"/>
                <w:b/>
                <w:sz w:val="20"/>
                <w:szCs w:val="20"/>
              </w:rPr>
              <w:t>Hôpitaux privés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80EE1" w:rsidRPr="009F637C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(%)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vAlign w:val="center"/>
          </w:tcPr>
          <w:p w14:paraId="113F91E1" w14:textId="77777777" w:rsidR="00C80EE1" w:rsidRPr="009F637C" w:rsidRDefault="00C80EE1" w:rsidP="00F73A78">
            <w:pPr>
              <w:pStyle w:val="Normalcentr"/>
              <w:spacing w:line="240" w:lineRule="auto"/>
              <w:rPr>
                <w:rStyle w:val="Accentuationlgre"/>
                <w:rFonts w:ascii="Times New Roman" w:hAnsi="Times New Roman" w:cs="Times New Roman"/>
                <w:lang w:val="en-GB"/>
              </w:rPr>
            </w:pPr>
            <w:r w:rsidRPr="009F637C">
              <w:rPr>
                <w:rStyle w:val="Accentuationlgre"/>
                <w:rFonts w:ascii="Times New Roman" w:hAnsi="Times New Roman" w:cs="Times New Roman"/>
                <w:lang w:val="en-GB"/>
              </w:rPr>
              <w:t>436 (56.1%)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vAlign w:val="center"/>
          </w:tcPr>
          <w:p w14:paraId="4ECC2972" w14:textId="77777777" w:rsidR="00C80EE1" w:rsidRPr="009F637C" w:rsidRDefault="00C80EE1" w:rsidP="00F73A78">
            <w:pPr>
              <w:pStyle w:val="Normalcentr"/>
              <w:spacing w:line="240" w:lineRule="auto"/>
              <w:rPr>
                <w:rStyle w:val="Accentuationlgre"/>
                <w:rFonts w:ascii="Times New Roman" w:hAnsi="Times New Roman" w:cs="Times New Roman"/>
                <w:lang w:val="en-GB"/>
              </w:rPr>
            </w:pPr>
            <w:r w:rsidRPr="009F637C">
              <w:rPr>
                <w:rStyle w:val="Accentuationlgre"/>
                <w:rFonts w:ascii="Times New Roman" w:hAnsi="Times New Roman" w:cs="Times New Roman"/>
                <w:lang w:val="en-GB"/>
              </w:rPr>
              <w:t>292 (62.1%)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vAlign w:val="center"/>
          </w:tcPr>
          <w:p w14:paraId="095EE9E9" w14:textId="77777777" w:rsidR="00C80EE1" w:rsidRPr="009F637C" w:rsidRDefault="00C80EE1" w:rsidP="00F73A78">
            <w:pPr>
              <w:pStyle w:val="Normalcentr"/>
              <w:spacing w:line="240" w:lineRule="auto"/>
              <w:rPr>
                <w:rStyle w:val="Accentuationlgre"/>
                <w:rFonts w:ascii="Times New Roman" w:hAnsi="Times New Roman" w:cs="Times New Roman"/>
                <w:lang w:val="en-GB"/>
              </w:rPr>
            </w:pPr>
            <w:r w:rsidRPr="009F637C">
              <w:rPr>
                <w:rStyle w:val="Accentuationlgre"/>
                <w:rFonts w:ascii="Times New Roman" w:hAnsi="Times New Roman" w:cs="Times New Roman"/>
                <w:lang w:val="en-GB"/>
              </w:rPr>
              <w:t>170 (68%)</w:t>
            </w:r>
          </w:p>
        </w:tc>
      </w:tr>
    </w:tbl>
    <w:p w14:paraId="52F9BB4F" w14:textId="77777777" w:rsidR="00C80EE1" w:rsidRDefault="00C80EE1" w:rsidP="00C80EE1">
      <w:pPr>
        <w:rPr>
          <w:rFonts w:ascii="Times New Roman" w:hAnsi="Times New Roman"/>
          <w:sz w:val="20"/>
          <w:szCs w:val="20"/>
          <w:lang w:val="en-GB" w:eastAsia="fr-FR"/>
        </w:rPr>
      </w:pPr>
    </w:p>
    <w:p w14:paraId="5193B378" w14:textId="77777777" w:rsidR="00AD2C1C" w:rsidRDefault="00AD2C1C">
      <w:r w:rsidRPr="00AD2C1C">
        <w:rPr>
          <w:b/>
          <w:bCs/>
        </w:rPr>
        <w:t>ES</w:t>
      </w:r>
      <w:r w:rsidRPr="00AD2C1C">
        <w:t xml:space="preserve"> Établissement de santé ; </w:t>
      </w:r>
      <w:r w:rsidRPr="00AD2C1C">
        <w:rPr>
          <w:b/>
          <w:bCs/>
        </w:rPr>
        <w:t>ISO</w:t>
      </w:r>
      <w:r w:rsidRPr="00AD2C1C">
        <w:t xml:space="preserve"> Infection du site opératoire ; </w:t>
      </w:r>
    </w:p>
    <w:sectPr w:rsidR="00AD2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EE1"/>
    <w:rsid w:val="002D02C4"/>
    <w:rsid w:val="003F1830"/>
    <w:rsid w:val="005F4B57"/>
    <w:rsid w:val="00AD2C1C"/>
    <w:rsid w:val="00BC2869"/>
    <w:rsid w:val="00C80EE1"/>
    <w:rsid w:val="00CB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FF616"/>
  <w15:chartTrackingRefBased/>
  <w15:docId w15:val="{2E32F963-C0D2-4213-9052-6A6187EDF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EE1"/>
    <w:pPr>
      <w:spacing w:after="0" w:line="240" w:lineRule="auto"/>
    </w:pPr>
    <w:rPr>
      <w:rFonts w:ascii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C80E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80E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C80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centr">
    <w:name w:val="Block Text"/>
    <w:aliases w:val="Centré (Normal )"/>
    <w:basedOn w:val="Normal"/>
    <w:uiPriority w:val="20"/>
    <w:unhideWhenUsed/>
    <w:qFormat/>
    <w:rsid w:val="00C80EE1"/>
    <w:pPr>
      <w:spacing w:before="100" w:after="40" w:line="288" w:lineRule="auto"/>
      <w:jc w:val="center"/>
    </w:pPr>
    <w:rPr>
      <w:rFonts w:ascii="Arial" w:eastAsiaTheme="minorEastAsia" w:hAnsi="Arial" w:cstheme="minorBidi"/>
      <w:iCs/>
      <w:color w:val="262626" w:themeColor="text1" w:themeTint="D9"/>
      <w:lang w:eastAsia="fr-FR"/>
    </w:rPr>
  </w:style>
  <w:style w:type="character" w:styleId="Accentuationlgre">
    <w:name w:val="Subtle Emphasis"/>
    <w:aliases w:val="Petit"/>
    <w:basedOn w:val="Policepardfaut"/>
    <w:uiPriority w:val="3"/>
    <w:qFormat/>
    <w:rsid w:val="00C80EE1"/>
    <w:rPr>
      <w:i w:val="0"/>
      <w:iCs/>
      <w:color w:val="404040" w:themeColor="text1" w:themeTint="BF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F864AC3E5EB5459B4C86B212DD0AC5" ma:contentTypeVersion="17" ma:contentTypeDescription="Crée un document." ma:contentTypeScope="" ma:versionID="f64fbdbca29a7bcbf3ade1502f376373">
  <xsd:schema xmlns:xsd="http://www.w3.org/2001/XMLSchema" xmlns:xs="http://www.w3.org/2001/XMLSchema" xmlns:p="http://schemas.microsoft.com/office/2006/metadata/properties" xmlns:ns2="ef6356d2-f6dc-4534-868a-2902ab4a12e4" xmlns:ns3="2ee9029f-477e-4eb3-af1c-31a0d4819e18" targetNamespace="http://schemas.microsoft.com/office/2006/metadata/properties" ma:root="true" ma:fieldsID="dbe3f4edf047f6161351398eaa64647c" ns2:_="" ns3:_="">
    <xsd:import namespace="ef6356d2-f6dc-4534-868a-2902ab4a12e4"/>
    <xsd:import namespace="2ee9029f-477e-4eb3-af1c-31a0d4819e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356d2-f6dc-4534-868a-2902ab4a12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5" nillable="true" ma:displayName="État de validation" ma:internalName="_x00c9_tat_x0020_de_x0020_validation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5edda596-076e-4c2f-b9ef-cb5e334fb0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9029f-477e-4eb3-af1c-31a0d4819e1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9b1cc20-5465-47f3-bb60-4795f16369c2}" ma:internalName="TaxCatchAll" ma:showField="CatchAllData" ma:web="2ee9029f-477e-4eb3-af1c-31a0d4819e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f6356d2-f6dc-4534-868a-2902ab4a12e4" xsi:nil="true"/>
    <TaxCatchAll xmlns="2ee9029f-477e-4eb3-af1c-31a0d4819e18" xsi:nil="true"/>
    <lcf76f155ced4ddcb4097134ff3c332f xmlns="ef6356d2-f6dc-4534-868a-2902ab4a12e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6A2DEC-AEC3-4BBC-A323-918B65BD15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356d2-f6dc-4534-868a-2902ab4a12e4"/>
    <ds:schemaRef ds:uri="2ee9029f-477e-4eb3-af1c-31a0d4819e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87B06D-1DBB-4F67-8EA7-4B1C1511E809}">
  <ds:schemaRefs>
    <ds:schemaRef ds:uri="http://schemas.microsoft.com/office/2006/metadata/properties"/>
    <ds:schemaRef ds:uri="http://schemas.microsoft.com/office/infopath/2007/PartnerControls"/>
    <ds:schemaRef ds:uri="ef6356d2-f6dc-4534-868a-2902ab4a12e4"/>
    <ds:schemaRef ds:uri="2ee9029f-477e-4eb3-af1c-31a0d4819e18"/>
  </ds:schemaRefs>
</ds:datastoreItem>
</file>

<file path=customXml/itemProps3.xml><?xml version="1.0" encoding="utf-8"?>
<ds:datastoreItem xmlns:ds="http://schemas.openxmlformats.org/officeDocument/2006/customXml" ds:itemID="{15BC4A4A-C4F6-49E2-BD70-7C0963952B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CHRU de Tours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GUILLON</dc:creator>
  <cp:keywords/>
  <dc:description/>
  <cp:lastModifiedBy>Dylan Maillot</cp:lastModifiedBy>
  <cp:revision>2</cp:revision>
  <dcterms:created xsi:type="dcterms:W3CDTF">2024-11-06T14:17:00Z</dcterms:created>
  <dcterms:modified xsi:type="dcterms:W3CDTF">2024-11-06T14:17:00Z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0x010100C9F864AC3E5EB5459B4C86B212DD0AC5</vt:lpwstr>
  </property>
</Properties>
</file>